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5808B2" w:rsidR="005808B2" w:rsidP="00962F8F" w14:paraId="04B2EB8F" w14:textId="77777777">
      <w:pPr>
        <w:bidi w:val="false"/>
        <w:spacing w:line="240" w:lineRule="auto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4594225</wp:posOffset>
            </wp:positionH>
            <wp:positionV relativeFrom="paragraph">
              <wp:posOffset>-17635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5808B2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戦略的な市場開拓 </w:t>
      </w:r>
    </w:p>
    <w:p w:rsidR="004D476D" w:rsidP="005808B2" w14:paraId="5F036F44" w14:textId="77777777">
      <w:pPr>
        <w:bidi w:val="false"/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</w:pPr>
      <w:r w:rsidRPr="005808B2">
        <w:rPr>
          <w:b/>
          <w:color w:val="808080" w:themeColor="background1" w:themeShade="80"/>
          <w:sz w:val="36"/>
          <w:szCs w:val="44"/>
          <w:lang w:eastAsia="Japanese"/>
          <w:eastAsianLayout/>
        </w:rPr>
        <w:t xml:space="preserve">通信計画テンプレート </w:t>
      </w:r>
    </w:p>
    <w:p w:rsidRPr="005808B2" w:rsidR="00B5531F" w:rsidP="005808B2" w14:paraId="21D064E3" w14:textId="77777777">
      <w:pPr>
        <w:bidi w:val="false"/>
        <w:spacing w:line="276" w:lineRule="auto"/>
        <w:ind w:right="828"/>
        <w:rPr>
          <w:bCs/>
          <w:color w:val="808080" w:themeColor="background1" w:themeShade="80"/>
          <w:sz w:val="16"/>
          <w:szCs w:val="16"/>
        </w:rPr>
      </w:pPr>
    </w:p>
    <w:p w:rsidRPr="005808B2" w:rsidR="005808B2" w:rsidP="005808B2" w14:paraId="52BB227E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eastAsia="Japanese"/>
          <w:eastAsianLayout/>
        </w:rPr>
        <w:t xml:space="preserve">コミュニケーション計画はビジネス計画に似ていますが、違いは適用される規律にあります </w:t>
      </w:r>
    </w:p>
    <w:p w:rsidRPr="005808B2" w:rsidR="005808B2" w:rsidP="005808B2" w14:paraId="7027274B" w14:textId="77777777">
      <w:pPr>
        <w:bidi w:val="false"/>
        <w:spacing w:line="276" w:lineRule="auto"/>
        <w:ind w:right="828"/>
        <w:rPr>
          <w:bCs/>
          <w:color w:val="404040" w:themeColor="text1" w:themeTint="BF"/>
          <w:sz w:val="21"/>
          <w:szCs w:val="21"/>
        </w:rPr>
      </w:pPr>
      <w:r w:rsidRPr="005808B2">
        <w:rPr>
          <w:color w:val="404040" w:themeColor="text1" w:themeTint="BF"/>
          <w:sz w:val="21"/>
          <w:szCs w:val="21"/>
          <w:lang w:eastAsia="Japanese"/>
          <w:eastAsianLayout/>
        </w:rPr>
        <w:t>計画の実行に。この 9 項目のロードマップに基づいて、従来の通信戦略計画を構築できます。Smartsheet テンプレートを使用すると、プロジェクトの範囲と期間に応じて、プランに適用する詳細の量を変化させます。</w:t>
      </w:r>
    </w:p>
    <w:p w:rsidRPr="005808B2" w:rsidR="005808B2" w14:paraId="291B5B30" w14:textId="77777777">
      <w:pPr>
        <w:bidi w:val="false"/>
        <w:rPr>
          <w:rFonts w:cs="Arial"/>
          <w:b/>
          <w:noProof/>
          <w:color w:val="000000" w:themeColor="text1"/>
          <w:sz w:val="16"/>
          <w:szCs w:val="28"/>
        </w:rPr>
      </w:pPr>
    </w:p>
    <w:tbl>
      <w:tblPr>
        <w:tblW w:w="11036" w:type="dxa"/>
        <w:tblLook w:val="04A0"/>
      </w:tblPr>
      <w:tblGrid>
        <w:gridCol w:w="3311"/>
        <w:gridCol w:w="2207"/>
        <w:gridCol w:w="5518"/>
      </w:tblGrid>
      <w:tr w:rsidTr="00DD28EE" w14:paraId="37FE91AE" w14:textId="77777777">
        <w:tblPrEx>
          <w:tblW w:w="11036" w:type="dxa"/>
          <w:tblLook w:val="04A0"/>
        </w:tblPrEx>
        <w:trPr>
          <w:trHeight w:val="173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9860C7E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eastAsia="Japanese"/>
                <w:eastAsianLayout/>
              </w:rPr>
              <w:t>プロジェクト名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699FF4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CE27DBE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539055F3" w14:textId="77777777">
        <w:tblPrEx>
          <w:tblW w:w="11036" w:type="dxa"/>
          <w:tblLook w:val="04A0"/>
        </w:tblPrEx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08B2" w:rsidR="005808B2" w:rsidP="005808B2" w14:paraId="3C2787C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238559DF" w14:textId="77777777">
        <w:tblPrEx>
          <w:tblW w:w="11036" w:type="dxa"/>
          <w:tblLook w:val="04A0"/>
        </w:tblPrEx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33E2CC2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347F461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5A770846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5808B2" w14:paraId="70BC6105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DD57DD4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eastAsia="Japanese"/>
                <w:eastAsianLayout/>
              </w:rPr>
              <w:t>連絡先情報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249023D" w14:textId="77777777">
            <w:pPr>
              <w:bidi w:val="false"/>
              <w:spacing w:line="240" w:lineRule="auto"/>
              <w:ind w:left="-109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5E797EF" w14:textId="77777777">
            <w:pPr>
              <w:bidi w:val="false"/>
              <w:spacing w:line="240" w:lineRule="auto"/>
              <w:ind w:left="-109"/>
              <w:rPr>
                <w:rFonts w:ascii="Times New Roman" w:hAnsi="Times New Roman"/>
                <w:szCs w:val="20"/>
              </w:rPr>
            </w:pPr>
          </w:p>
        </w:tc>
      </w:tr>
      <w:tr w:rsidTr="00DD28EE" w14:paraId="434FDAF0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05E2FBAD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名前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FDDBCE3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5518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28A454A4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</w:tr>
      <w:tr w:rsidTr="00DD28EE" w14:paraId="651E115A" w14:textId="77777777">
        <w:tblPrEx>
          <w:tblW w:w="11036" w:type="dxa"/>
          <w:tblLook w:val="04A0"/>
        </w:tblPrEx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698F0E5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302601B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551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noWrap/>
            <w:vAlign w:val="center"/>
            <w:hideMark/>
          </w:tcPr>
          <w:p w:rsidRPr="005808B2" w:rsidR="005808B2" w:rsidP="005808B2" w14:paraId="3D1B8DD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0D59955F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D8CA121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270E5D5C" w14:textId="77777777">
            <w:pPr>
              <w:bidi w:val="false"/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D205B40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3EF472C0" w14:textId="77777777">
        <w:tblPrEx>
          <w:tblW w:w="11036" w:type="dxa"/>
          <w:tblLook w:val="04A0"/>
        </w:tblPrEx>
        <w:trPr>
          <w:trHeight w:val="710"/>
        </w:trPr>
        <w:tc>
          <w:tcPr>
            <w:tcW w:w="11036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5F5F5"/>
            <w:vAlign w:val="center"/>
            <w:hideMark/>
          </w:tcPr>
          <w:p w:rsidRPr="005808B2" w:rsidR="005808B2" w:rsidP="005808B2" w14:paraId="40C41F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501A943" w14:textId="77777777">
        <w:tblPrEx>
          <w:tblW w:w="11036" w:type="dxa"/>
          <w:tblLook w:val="04A0"/>
        </w:tblPrEx>
        <w:trPr>
          <w:trHeight w:val="162"/>
        </w:trPr>
        <w:tc>
          <w:tcPr>
            <w:tcW w:w="3311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42E31787" w14:textId="77777777">
            <w:pPr>
              <w:bidi w:val="false"/>
              <w:spacing w:line="240" w:lineRule="auto"/>
              <w:ind w:firstLine="200" w:firstLineChars="100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1D0A5F7A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518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31FD7F19" w14:textId="77777777">
            <w:pPr>
              <w:bidi w:val="false"/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Tr="00DD28EE" w14:paraId="6A693390" w14:textId="77777777">
        <w:tblPrEx>
          <w:tblW w:w="11036" w:type="dxa"/>
          <w:tblLook w:val="04A0"/>
        </w:tblPrEx>
        <w:trPr>
          <w:trHeight w:val="324"/>
        </w:trPr>
        <w:tc>
          <w:tcPr>
            <w:tcW w:w="331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0BC75E9D" w14:textId="77777777">
            <w:pPr>
              <w:bidi w:val="false"/>
              <w:spacing w:line="240" w:lineRule="auto"/>
              <w:ind w:left="-109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著者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7A855664" w14:textId="77777777">
            <w:pPr>
              <w:bidi w:val="false"/>
              <w:spacing w:line="240" w:lineRule="auto"/>
              <w:ind w:left="-109"/>
              <w:jc w:val="center"/>
              <w:rPr>
                <w:color w:val="000000"/>
                <w:sz w:val="18"/>
                <w:szCs w:val="18"/>
              </w:rPr>
            </w:pPr>
            <w:r w:rsidRPr="005808B2">
              <w:rPr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85044B8" w14:textId="77777777">
            <w:pPr>
              <w:bidi w:val="false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Tr="00DD28EE" w14:paraId="2802678F" w14:textId="77777777">
        <w:tblPrEx>
          <w:tblW w:w="11036" w:type="dxa"/>
          <w:tblLook w:val="04A0"/>
        </w:tblPrEx>
        <w:trPr>
          <w:trHeight w:val="710"/>
        </w:trPr>
        <w:tc>
          <w:tcPr>
            <w:tcW w:w="3311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14:paraId="60EC0AA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  <w:tc>
          <w:tcPr>
            <w:tcW w:w="220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08B2" w:rsidR="005808B2" w:rsidP="005808B2" w14:paraId="5A61A5B9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5808B2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808B2" w:rsidR="005808B2" w:rsidP="005808B2" w14:paraId="6F1F8A1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</w:p>
        </w:tc>
      </w:tr>
    </w:tbl>
    <w:p w:rsidR="00DD28EE" w14:paraId="7F4B9783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D28EE" w14:paraId="35DA7F6D" w14:textId="77777777">
        <w:tblPrEx>
          <w:tblW w:w="10980" w:type="dxa"/>
          <w:tblLook w:val="04A0"/>
        </w:tblPrEx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12007022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1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ミッション</w:t>
            </w:r>
          </w:p>
        </w:tc>
      </w:tr>
      <w:tr w:rsidTr="00DD28EE" w14:paraId="202B2515" w14:textId="77777777">
        <w:tblPrEx>
          <w:tblW w:w="10980" w:type="dxa"/>
          <w:tblLook w:val="04A0"/>
        </w:tblPrEx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14:paraId="1A573F7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組織の全体的なコミュニケーション計画に取り組んでいる場合でも、プロジェクト、キャンペーン、または危機コミュニケーション計画の状況を実行する場合でも、ミッションを念頭に置いて開始してください。</w:t>
            </w:r>
          </w:p>
        </w:tc>
      </w:tr>
      <w:tr w:rsidTr="00962F8F" w14:paraId="022E147E" w14:textId="77777777">
        <w:tblPrEx>
          <w:tblW w:w="10980" w:type="dxa"/>
          <w:tblLook w:val="04A0"/>
        </w:tblPrEx>
        <w:trPr>
          <w:trHeight w:val="4958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23A507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D28EE" w14:paraId="3CD4D3C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4BCD675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2203451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0980" w:type="dxa"/>
        <w:tblLook w:val="04A0"/>
      </w:tblPr>
      <w:tblGrid>
        <w:gridCol w:w="10980"/>
      </w:tblGrid>
      <w:tr w:rsidTr="00DD28EE" w14:paraId="1015FE73" w14:textId="77777777">
        <w:tblPrEx>
          <w:tblW w:w="10980" w:type="dxa"/>
          <w:tblLook w:val="04A0"/>
        </w:tblPrEx>
        <w:trPr>
          <w:trHeight w:val="480"/>
        </w:trPr>
        <w:tc>
          <w:tcPr>
            <w:tcW w:w="1098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727F1358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2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エグゼクティブサマリー</w:t>
            </w:r>
          </w:p>
        </w:tc>
      </w:tr>
      <w:tr w:rsidTr="00DD28EE" w14:paraId="455A9A5F" w14:textId="77777777">
        <w:tblPrEx>
          <w:tblW w:w="10980" w:type="dxa"/>
          <w:tblLook w:val="04A0"/>
        </w:tblPrEx>
        <w:trPr>
          <w:trHeight w:val="700"/>
        </w:trPr>
        <w:tc>
          <w:tcPr>
            <w:tcW w:w="1098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0BE"/>
            <w:vAlign w:val="center"/>
            <w:hideMark/>
          </w:tcPr>
          <w:p w:rsidRPr="00DD28EE" w:rsidR="00DD28EE" w:rsidP="00DD28EE" w14:paraId="36CF2F6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計画全体の簡潔な要約で、主な長所と短所、主な目標、採用すべき主な手法が強調されています。</w:t>
            </w:r>
          </w:p>
        </w:tc>
      </w:tr>
      <w:tr w:rsidTr="00DD28EE" w14:paraId="39269E0E" w14:textId="77777777">
        <w:tblPrEx>
          <w:tblW w:w="10980" w:type="dxa"/>
          <w:tblLook w:val="04A0"/>
        </w:tblPrEx>
        <w:trPr>
          <w:trHeight w:val="3312"/>
        </w:trPr>
        <w:tc>
          <w:tcPr>
            <w:tcW w:w="109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FE1167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14:paraId="198A50FC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DD28EE" w14:paraId="57C67F8B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6A519B7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3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状況分析</w:t>
            </w:r>
          </w:p>
        </w:tc>
      </w:tr>
      <w:tr w:rsidTr="00DD28EE" w14:paraId="31951613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ADBD7"/>
            <w:vAlign w:val="center"/>
            <w:hideMark/>
          </w:tcPr>
          <w:p w:rsidRPr="00DD28EE" w:rsidR="00DD28EE" w:rsidP="00DD28EE" w14:paraId="7517EABC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eastAsia="Japanese"/>
                <w:eastAsianLayout/>
              </w:rPr>
              <w:t>研究</w:t>
            </w:r>
          </w:p>
        </w:tc>
      </w:tr>
      <w:tr w:rsidTr="00DD28EE" w14:paraId="2B2296E4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3F7CA06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PEST分析(政治的、経済的、社会的、技術的要因)</w:t>
            </w:r>
          </w:p>
        </w:tc>
      </w:tr>
      <w:tr w:rsidTr="00DD28EE" w14:paraId="434ED31C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9036BE3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D28EE" w14:paraId="6DA6234C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4205A5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SWOT分析(強み、弱み、機会、脅威要因)</w:t>
            </w:r>
          </w:p>
        </w:tc>
      </w:tr>
      <w:tr w:rsidTr="00DD28EE" w14:paraId="6B5C0DD4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19A5092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DD28EE" w14:paraId="10B5BBDA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DD28EE" w:rsidR="00DD28EE" w:rsidP="00DD28EE" w14:paraId="458B6BD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競合他社分析</w:t>
            </w:r>
          </w:p>
        </w:tc>
      </w:tr>
      <w:tr w:rsidTr="00DD28EE" w14:paraId="092E84CD" w14:textId="77777777">
        <w:tblPrEx>
          <w:tblW w:w="11020" w:type="dxa"/>
          <w:tblLook w:val="04A0"/>
        </w:tblPrEx>
        <w:trPr>
          <w:trHeight w:val="216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26F4676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D28EE" w14:paraId="58A9656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75A49581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CE6087" w14:paraId="4E7DD24C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CE6087" w14:paraId="46087BAF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3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状況分析の  </w:t>
            </w:r>
            <w:r w:rsidRPr="00DD28EE">
              <w:rPr>
                <w:color w:val="A6A6A6" w:themeColor="background1" w:themeShade="A6"/>
                <w:szCs w:val="20"/>
                <w:lang w:eastAsia="Japanese"/>
                <w:eastAsianLayout/>
              </w:rPr>
              <w:t>続き</w:t>
            </w:r>
          </w:p>
        </w:tc>
      </w:tr>
      <w:tr w:rsidTr="00CE6087" w14:paraId="408024EC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AECAC4"/>
            <w:vAlign w:val="center"/>
            <w:hideMark/>
          </w:tcPr>
          <w:p w:rsidRPr="00DD28EE" w:rsidR="00DD28EE" w:rsidP="00CE6087" w14:paraId="4BF992C3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DD28EE">
              <w:rPr>
                <w:b/>
                <w:color w:val="000000"/>
                <w:szCs w:val="20"/>
                <w:lang w:eastAsia="Japanese"/>
                <w:eastAsianLayout/>
              </w:rPr>
              <w:t xml:space="preserve">スマート(特定、測定可能、現実的、タイムリー)目標と指標を特定する </w:t>
            </w:r>
          </w:p>
        </w:tc>
      </w:tr>
      <w:tr w:rsidTr="00DD28EE" w14:paraId="3DAB0777" w14:textId="77777777">
        <w:tblPrEx>
          <w:tblW w:w="11020" w:type="dxa"/>
          <w:tblLook w:val="04A0"/>
        </w:tblPrEx>
        <w:trPr>
          <w:trHeight w:val="288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CE6087" w14:paraId="0F1542A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D28EE" w14:paraId="654A314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DD28EE" w14:paraId="713B09CC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6A524557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 xml:space="preserve">4 </w:t>
            </w:r>
            <w:r w:rsidRPr="00DD28EE">
              <w:rPr>
                <w:color w:val="808080"/>
                <w:sz w:val="28"/>
                <w:szCs w:val="28"/>
                <w:lang w:eastAsia="Japanese"/>
                <w:eastAsianLayout/>
              </w:rPr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利害関係者とターゲットオーディエンス</w:t>
            </w:r>
          </w:p>
        </w:tc>
      </w:tr>
      <w:tr w:rsidTr="00DD28EE" w14:paraId="2308874C" w14:textId="77777777">
        <w:tblPrEx>
          <w:tblW w:w="11020" w:type="dxa"/>
          <w:tblLook w:val="04A0"/>
        </w:tblPrEx>
        <w:trPr>
          <w:trHeight w:val="70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0D0"/>
            <w:vAlign w:val="center"/>
            <w:hideMark/>
          </w:tcPr>
          <w:p w:rsidRPr="00DD28EE" w:rsidR="00DD28EE" w:rsidP="00DD28EE" w14:paraId="00F3C6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これは、主要なインフルエンサーのターゲットグループとそのサブグループ、およびプランで影響を与えるターゲットグループの優先順位付きリストです。</w:t>
            </w:r>
          </w:p>
        </w:tc>
      </w:tr>
      <w:tr w:rsidTr="00DD28EE" w14:paraId="1065F754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193B3B7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245EC8FD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2CE033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3FF267C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35145DF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F0367C9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5184CEE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6316C0C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0B1765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492D24A2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AEF4B6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1DB14440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63E32FE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  <w:tr w:rsidTr="00DD28EE" w14:paraId="31967E15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34941FD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</w:p>
        </w:tc>
      </w:tr>
    </w:tbl>
    <w:p w:rsidR="00DD28EE" w14:paraId="756FB295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D28EE" w14:paraId="5922FED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670A397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DD28EE" w:rsidR="00DD28EE" w:rsidP="00DD28EE" w14:paraId="2E97F3CC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DD28EE">
              <w:rPr>
                <w:color w:val="808080"/>
                <w:sz w:val="32"/>
                <w:szCs w:val="32"/>
                <w:lang w:eastAsia="Japanese"/>
                <w:eastAsianLayout/>
              </w:rPr>
              <w:t>5</w:t>
            </w:r>
            <w:r w:rsidRPr="00DD28EE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重要なメッセージ</w:t>
            </w:r>
          </w:p>
        </w:tc>
      </w:tr>
      <w:tr w:rsidTr="00962F8F" w14:paraId="1C58A915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1CBB4"/>
            <w:vAlign w:val="center"/>
            <w:hideMark/>
          </w:tcPr>
          <w:p w:rsidRPr="00DD28EE" w:rsidR="00DD28EE" w:rsidP="00DD28EE" w14:paraId="7A40A07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>組織をどのように認識させたいかを要約した 3 ~ 5 つのステートメントのグループ</w:t>
            </w:r>
          </w:p>
        </w:tc>
      </w:tr>
      <w:tr w:rsidTr="00962F8F" w14:paraId="1B69B571" w14:textId="77777777">
        <w:tblPrEx>
          <w:tblW w:w="11020" w:type="dxa"/>
          <w:tblLook w:val="04A0"/>
        </w:tblPrEx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DD28EE" w:rsidR="00DD28EE" w:rsidP="00DD28EE" w14:paraId="105B58C8" w14:textId="77777777">
            <w:pPr>
              <w:bidi w:val="false"/>
              <w:spacing w:line="240" w:lineRule="auto"/>
              <w:rPr>
                <w:i/>
                <w:iCs/>
                <w:color w:val="000000"/>
                <w:szCs w:val="20"/>
              </w:rPr>
            </w:pPr>
            <w:r w:rsidRPr="00DD28EE">
              <w:rPr>
                <w:i/>
                <w:color w:val="000000"/>
                <w:szCs w:val="20"/>
                <w:lang w:eastAsia="Japanese"/>
                <w:eastAsianLayout/>
              </w:rPr>
              <w:t>差別化されたメッセージを必要とする複数のオーディエンスをターゲットにしている場合は、各オーディエンスに基づいて3〜5つのステートメントのリストを作成する必要があります。</w:t>
            </w:r>
          </w:p>
        </w:tc>
      </w:tr>
      <w:tr w:rsidTr="00962F8F" w14:paraId="7ADB124F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4162802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42FF52C5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415A5F1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0A297D24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58171FB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7E3DE079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74B27BA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7E60D34C" w14:textId="77777777">
        <w:tblPrEx>
          <w:tblW w:w="11020" w:type="dxa"/>
          <w:tblLook w:val="04A0"/>
        </w:tblPrEx>
        <w:trPr>
          <w:trHeight w:val="1008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DD28EE" w:rsidR="00DD28EE" w:rsidP="00DD28EE" w14:paraId="26D96E1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DD28EE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14:paraId="6397093D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FD6AA3A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344A421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eastAsia="Japanese"/>
                <w:eastAsianLayout/>
              </w:rPr>
              <w:t>6</w:t>
            </w:r>
            <w:r w:rsidRPr="00962F8F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ツールと戦術</w:t>
            </w:r>
          </w:p>
        </w:tc>
      </w:tr>
      <w:tr w:rsidTr="00962F8F" w14:paraId="7164C82A" w14:textId="77777777">
        <w:tblPrEx>
          <w:tblW w:w="11020" w:type="dxa"/>
          <w:tblLook w:val="04A0"/>
        </w:tblPrEx>
        <w:trPr>
          <w:trHeight w:val="432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14:paraId="094D313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目標を達成するために何をしなければならないのか、そしてターゲットオーディエンスにリーチするにはどのようなツールが適切ですか? </w:t>
            </w:r>
          </w:p>
        </w:tc>
      </w:tr>
      <w:tr w:rsidTr="00962F8F" w14:paraId="7484D933" w14:textId="77777777">
        <w:tblPrEx>
          <w:tblW w:w="11020" w:type="dxa"/>
          <w:tblLook w:val="04A0"/>
        </w:tblPrEx>
        <w:trPr>
          <w:trHeight w:val="144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25FE945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783EFB5E" w14:textId="77777777">
        <w:tblPrEx>
          <w:tblW w:w="11020" w:type="dxa"/>
          <w:tblLook w:val="04A0"/>
        </w:tblPrEx>
        <w:trPr>
          <w:trHeight w:val="432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FCAA2"/>
            <w:vAlign w:val="center"/>
            <w:hideMark/>
          </w:tcPr>
          <w:p w:rsidRPr="00962F8F" w:rsidR="00962F8F" w:rsidP="00962F8F" w14:paraId="278D7144" w14:textId="77777777">
            <w:pPr>
              <w:bidi w:val="false"/>
              <w:spacing w:line="240" w:lineRule="auto"/>
              <w:rPr>
                <w:b/>
                <w:bCs/>
                <w:color w:val="000000"/>
                <w:szCs w:val="20"/>
              </w:rPr>
            </w:pPr>
            <w:r w:rsidRPr="00962F8F">
              <w:rPr>
                <w:b/>
                <w:color w:val="000000"/>
                <w:szCs w:val="20"/>
                <w:lang w:eastAsia="Japanese"/>
                <w:eastAsianLayout/>
              </w:rPr>
              <w:t>通信チャネル</w:t>
            </w:r>
          </w:p>
        </w:tc>
      </w:tr>
      <w:tr w:rsidTr="00962F8F" w14:paraId="24092146" w14:textId="77777777">
        <w:tblPrEx>
          <w:tblW w:w="11020" w:type="dxa"/>
          <w:tblLook w:val="04A0"/>
        </w:tblPrEx>
        <w:trPr>
          <w:trHeight w:val="720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BDDC3"/>
            <w:vAlign w:val="center"/>
            <w:hideMark/>
          </w:tcPr>
          <w:p w:rsidRPr="00962F8F" w:rsidR="00962F8F" w:rsidP="00962F8F" w14:paraId="233E31C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i/>
                <w:color w:val="000000"/>
                <w:sz w:val="18"/>
                <w:szCs w:val="18"/>
                <w:lang w:eastAsia="Japanese"/>
                <w:eastAsianLayout/>
              </w:rPr>
              <w:t>各視聴者には、計画と予算を必要とするいくつかの適切なコミュニケーションチャネル(</w:t>
            </w:r>
            <w:r w:rsidRPr="00962F8F">
              <w:rPr>
                <w:i/>
                <w:color w:val="000000"/>
                <w:szCs w:val="20"/>
                <w:lang w:eastAsia="Japanese"/>
                <w:eastAsianLayout/>
              </w:rPr>
              <w:br/>
            </w:r>
            <w:r w:rsidRPr="00962F8F">
              <w:rPr>
                <w:color w:val="000000"/>
                <w:szCs w:val="20"/>
                <w:lang w:eastAsia="Japanese"/>
                <w:eastAsianLayout/>
              </w:rPr>
              <w:t>ウェブ/オンラインメディアの存在、プレス/PR、ダイレクトマーケティング、印刷メディアまたは放送メディアでの有料広告)がある可能性があります。</w:t>
            </w:r>
          </w:p>
        </w:tc>
      </w:tr>
      <w:tr w:rsidTr="00962F8F" w14:paraId="0D7FF538" w14:textId="77777777">
        <w:tblPrEx>
          <w:tblW w:w="11020" w:type="dxa"/>
          <w:tblLook w:val="04A0"/>
        </w:tblPrEx>
        <w:trPr>
          <w:trHeight w:val="3024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D4E3CD2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14:paraId="00EF304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14:paraId="731BB97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7BA0E2B4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09A78B8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eastAsia="Japanese"/>
                <w:eastAsianLayout/>
              </w:rPr>
              <w:t xml:space="preserve">7 </w:t>
            </w:r>
            <w:r w:rsidRPr="00962F8F">
              <w:rPr>
                <w:color w:val="808080"/>
                <w:sz w:val="28"/>
                <w:szCs w:val="28"/>
                <w:lang w:eastAsia="Japanese"/>
                <w:eastAsianLayout/>
              </w:rPr>
            </w:r>
            <w:r w:rsidRPr="00962F8F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予算</w:t>
            </w:r>
          </w:p>
        </w:tc>
      </w:tr>
      <w:tr w:rsidTr="00962F8F" w14:paraId="5D0FA872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8E8"/>
            <w:vAlign w:val="center"/>
            <w:hideMark/>
          </w:tcPr>
          <w:p w:rsidRPr="00962F8F" w:rsidR="00962F8F" w:rsidP="00962F8F" w14:paraId="66260E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>計画をサポートする各戦術プロジェクトは、個別に予算化する必要があります。</w:t>
            </w:r>
          </w:p>
        </w:tc>
      </w:tr>
      <w:tr w:rsidTr="00962F8F" w14:paraId="60AED42B" w14:textId="77777777">
        <w:tblPrEx>
          <w:tblW w:w="11020" w:type="dxa"/>
          <w:tblLook w:val="04A0"/>
        </w:tblPrEx>
        <w:trPr>
          <w:trHeight w:val="417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CBE0411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14:paraId="2E0E673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2790"/>
        <w:gridCol w:w="1710"/>
        <w:gridCol w:w="6520"/>
      </w:tblGrid>
      <w:tr w:rsidTr="00962F8F" w14:paraId="33F62DDD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gridSpan w:val="3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799A6A8A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eastAsia="Japanese"/>
                <w:eastAsianLayout/>
              </w:rPr>
              <w:t>8</w:t>
            </w:r>
            <w:r w:rsidRPr="00962F8F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プロジェクト計画とスケジュール</w:t>
            </w:r>
          </w:p>
        </w:tc>
      </w:tr>
      <w:tr w:rsidTr="00962F8F" w14:paraId="6AEC17BF" w14:textId="77777777">
        <w:tblPrEx>
          <w:tblW w:w="11020" w:type="dxa"/>
          <w:tblLook w:val="04A0"/>
        </w:tblPrEx>
        <w:trPr>
          <w:trHeight w:val="700"/>
        </w:trPr>
        <w:tc>
          <w:tcPr>
            <w:tcW w:w="11020" w:type="dxa"/>
            <w:gridSpan w:val="3"/>
            <w:tcBorders>
              <w:top w:val="single" w:color="BFBFBF" w:themeColor="background1" w:themeShade="BF" w:sz="18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D3E1ED"/>
            <w:vAlign w:val="center"/>
            <w:hideMark/>
          </w:tcPr>
          <w:p w:rsidRPr="00962F8F" w:rsidR="00962F8F" w:rsidP="00962F8F" w14:paraId="064A495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>すべての戦術と、いつ、誰によって何をする必要があるかを示すマイルストーンチャートを作成します。最終的な目標に向けた進捗状況を測定できるように、これを含めます。</w:t>
            </w:r>
          </w:p>
        </w:tc>
      </w:tr>
      <w:tr w:rsidTr="00962F8F" w14:paraId="0C3AAB20" w14:textId="77777777">
        <w:tblPrEx>
          <w:tblW w:w="11020" w:type="dxa"/>
          <w:tblLook w:val="04A0"/>
        </w:tblPrEx>
        <w:trPr>
          <w:trHeight w:val="400"/>
        </w:trPr>
        <w:tc>
          <w:tcPr>
            <w:tcW w:w="279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7E57DA5E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タスク所有者</w:t>
            </w:r>
          </w:p>
        </w:tc>
        <w:tc>
          <w:tcPr>
            <w:tcW w:w="171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0B613C37" w14:textId="77777777">
            <w:pPr>
              <w:bidi w:val="false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期日</w:t>
            </w:r>
          </w:p>
        </w:tc>
        <w:tc>
          <w:tcPr>
            <w:tcW w:w="65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962F8F" w:rsidR="00962F8F" w:rsidP="00962F8F" w14:paraId="2C4FCB65" w14:textId="77777777">
            <w:pPr>
              <w:bidi w:val="false"/>
              <w:spacing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962F8F">
              <w:rPr>
                <w:b/>
                <w:color w:val="000000"/>
                <w:sz w:val="18"/>
                <w:szCs w:val="18"/>
                <w:lang w:eastAsia="Japanese"/>
                <w:eastAsianLayout/>
              </w:rPr>
              <w:t>タスクの説明</w:t>
            </w:r>
          </w:p>
        </w:tc>
      </w:tr>
      <w:tr w:rsidTr="00962F8F" w14:paraId="0722E2EC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1C39E6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8A09C9B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4A488D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0004DF3C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6068356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8D576B4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037996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0B390875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5F4B9F7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88F294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72F4364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5E3240FE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6061BAA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3601436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27F43216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023F9B89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8F449A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EBA95C2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7102A9D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56B06DB5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5D3E89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3364577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1413CD1C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486F7764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496D9DFB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D528F3D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34DBD99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962F8F" w14:paraId="657E87ED" w14:textId="77777777">
        <w:tblPrEx>
          <w:tblW w:w="11020" w:type="dxa"/>
          <w:tblLook w:val="04A0"/>
        </w:tblPrEx>
        <w:trPr>
          <w:trHeight w:val="792"/>
        </w:trPr>
        <w:tc>
          <w:tcPr>
            <w:tcW w:w="279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774404E0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077C0582" w14:textId="77777777">
            <w:pPr>
              <w:bidi w:val="false"/>
              <w:spacing w:line="240" w:lineRule="auto"/>
              <w:jc w:val="center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65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3BEBF0B8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14:paraId="42317B12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962F8F" w14:paraId="7F4B318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W w:w="11020" w:type="dxa"/>
        <w:tblLook w:val="04A0"/>
      </w:tblPr>
      <w:tblGrid>
        <w:gridCol w:w="11020"/>
      </w:tblGrid>
      <w:tr w:rsidTr="00962F8F" w14:paraId="1713996F" w14:textId="77777777">
        <w:tblPrEx>
          <w:tblW w:w="11020" w:type="dxa"/>
          <w:tblLook w:val="04A0"/>
        </w:tblPrEx>
        <w:trPr>
          <w:trHeight w:val="480"/>
        </w:trPr>
        <w:tc>
          <w:tcPr>
            <w:tcW w:w="110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962F8F" w:rsidR="00962F8F" w:rsidP="00962F8F" w14:paraId="02B93ADB" w14:textId="77777777">
            <w:pPr>
              <w:bidi w:val="false"/>
              <w:spacing w:line="240" w:lineRule="auto"/>
              <w:ind w:left="-109"/>
              <w:rPr>
                <w:color w:val="000000"/>
                <w:sz w:val="28"/>
                <w:szCs w:val="28"/>
              </w:rPr>
            </w:pPr>
            <w:r w:rsidRPr="00962F8F">
              <w:rPr>
                <w:color w:val="808080"/>
                <w:sz w:val="32"/>
                <w:szCs w:val="32"/>
                <w:lang w:eastAsia="Japanese"/>
                <w:eastAsianLayout/>
              </w:rPr>
              <w:t>9</w:t>
            </w:r>
            <w:r w:rsidRPr="00962F8F">
              <w:rPr>
                <w:color w:val="000000"/>
                <w:sz w:val="28"/>
                <w:szCs w:val="28"/>
                <w:lang w:eastAsia="Japanese"/>
                <w:eastAsianLayout/>
              </w:rPr>
              <w:t xml:space="preserve">  評価</w:t>
            </w:r>
          </w:p>
        </w:tc>
      </w:tr>
      <w:tr w:rsidTr="00962F8F" w14:paraId="103C1B73" w14:textId="77777777">
        <w:tblPrEx>
          <w:tblW w:w="11020" w:type="dxa"/>
          <w:tblLook w:val="04A0"/>
        </w:tblPrEx>
        <w:trPr>
          <w:trHeight w:val="440"/>
        </w:trPr>
        <w:tc>
          <w:tcPr>
            <w:tcW w:w="11020" w:type="dxa"/>
            <w:tcBorders>
              <w:top w:val="single" w:color="BFBFBF" w:themeColor="background1" w:themeShade="BF" w:sz="18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BDDCC"/>
            <w:vAlign w:val="center"/>
            <w:hideMark/>
          </w:tcPr>
          <w:p w:rsidRPr="00962F8F" w:rsidR="00962F8F" w:rsidP="00962F8F" w14:paraId="65F201CE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>ミッションと増分指標に基づいて、目標の達成にどの程度成功したかを評価します。</w:t>
            </w:r>
          </w:p>
        </w:tc>
      </w:tr>
      <w:tr w:rsidTr="00962F8F" w14:paraId="2943244A" w14:textId="77777777">
        <w:tblPrEx>
          <w:tblW w:w="11020" w:type="dxa"/>
          <w:tblLook w:val="04A0"/>
        </w:tblPrEx>
        <w:trPr>
          <w:trHeight w:val="12816"/>
        </w:trPr>
        <w:tc>
          <w:tcPr>
            <w:tcW w:w="11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62F8F" w:rsidR="00962F8F" w:rsidP="00962F8F" w14:paraId="6CF5B58F" w14:textId="77777777">
            <w:pPr>
              <w:bidi w:val="false"/>
              <w:spacing w:line="240" w:lineRule="auto"/>
              <w:rPr>
                <w:color w:val="000000"/>
                <w:szCs w:val="20"/>
              </w:rPr>
            </w:pPr>
            <w:r w:rsidRPr="00962F8F">
              <w:rPr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962F8F" w14:paraId="0FD3EFBF" w14:textId="77777777">
      <w:pPr>
        <w:bidi w:val="false"/>
        <w:rPr>
          <w:rFonts w:cs="Arial"/>
          <w:b/>
          <w:noProof/>
          <w:color w:val="000000" w:themeColor="text1"/>
          <w:szCs w:val="36"/>
        </w:rPr>
        <w:sectPr w:rsidSect="004D476D">
          <w:footerReference w:type="even" r:id="rId10"/>
          <w:footerReference w:type="default" r:id="rId11"/>
          <w:pgSz w:w="12240" w:h="15840"/>
          <w:pgMar w:top="477" w:right="576" w:bottom="576" w:left="576" w:header="720" w:footer="518" w:gutter="0"/>
          <w:cols w:space="720"/>
          <w:titlePg/>
          <w:docGrid w:linePitch="360"/>
        </w:sectPr>
      </w:pPr>
    </w:p>
    <w:p w:rsidRPr="003D706E" w:rsidR="00C81141" w:rsidP="00FF51C2" w14:paraId="50A12317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50CC05BE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1546C7" w14:paraId="3CC8A311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10147" w:type="dxa"/>
          </w:tcPr>
          <w:p w:rsidRPr="003D706E" w:rsidR="00FF51C2" w:rsidP="00531F82" w14:paraId="3E052270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6607096A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3701027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7824851C" w14:textId="77777777">
      <w:pPr>
        <w:rPr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098EE6D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4A3B8586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0432CDF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3C1D589B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7"/>
  </w:num>
  <w:num w:numId="13">
    <w:abstractNumId w:val="16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87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4139"/>
    <w:rsid w:val="001472A1"/>
    <w:rsid w:val="00150B91"/>
    <w:rsid w:val="001546C7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476D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08B2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6F3A87"/>
    <w:rsid w:val="00714325"/>
    <w:rsid w:val="00744E50"/>
    <w:rsid w:val="00756B3B"/>
    <w:rsid w:val="00774101"/>
    <w:rsid w:val="0078197E"/>
    <w:rsid w:val="007E1AE6"/>
    <w:rsid w:val="007F08AA"/>
    <w:rsid w:val="007F4423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62F8F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7787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E6087"/>
    <w:rsid w:val="00CF7C60"/>
    <w:rsid w:val="00D022DF"/>
    <w:rsid w:val="00D2118F"/>
    <w:rsid w:val="00D2644E"/>
    <w:rsid w:val="00D26580"/>
    <w:rsid w:val="00D4690E"/>
    <w:rsid w:val="00D57230"/>
    <w:rsid w:val="00D660EC"/>
    <w:rsid w:val="00D675F4"/>
    <w:rsid w:val="00D82ADF"/>
    <w:rsid w:val="00D90B36"/>
    <w:rsid w:val="00DB1AE1"/>
    <w:rsid w:val="00DD28EE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23F8"/>
    <w:rsid w:val="00EC3CDB"/>
    <w:rsid w:val="00F05EE6"/>
    <w:rsid w:val="00F11F7B"/>
    <w:rsid w:val="00F36FE0"/>
    <w:rsid w:val="00F84A9A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6B8A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E06662"/>
    <w:pPr>
      <w:spacing w:line="360" w:lineRule="auto"/>
    </w:pPr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25&amp;utm_language=JA&amp;utm_source=integrated+content&amp;utm_campaign=/go-to-market-plan-template&amp;utm_medium=ic+strategic+go+to+market+communications+plan+template+77325+word+jp&amp;lpa=ic+strategic+go+to+market+communications+plan+template+77325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797B982D-C0C8-4B11-A12E-C78E2D8DD4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IC-Strategic-Go-To-Market-Communications-Plan-11011_WORD.dotx</Template>
  <TotalTime>0</TotalTime>
  <Pages>7</Pages>
  <Words>443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2021-02-02T19:06:00Z</dcterms:created>
  <dcterms:modified xsi:type="dcterms:W3CDTF">2021-02-02T19:06:00Z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