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ja"/>
          <w:eastAsianLayout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ja"/>
          <w:eastAsianLayout/>
        </w:rPr>
        <w:t>基本的な費用便益分析チャートテンプレート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ja"/>
                <w:eastAsianLayout/>
              </w:rPr>
              <w:t>プロジェクトタイトル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ja"/>
                <w:eastAsianLayout/>
              </w:rPr>
              <w:t>著者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ja"/>
                <w:eastAsianLayout/>
              </w:rPr>
              <w:t>バージョン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ja"/>
                <w:eastAsianLayout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ja"/>
                <w:eastAsianLayout/>
              </w:rPr>
              <w:t>基本費用便益分析チャート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>提案されたアクション/代替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>利点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 xml:space="preserve">利益への影響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ja"/>
                <w:eastAsianLayout/>
              </w:rPr>
              <w:t>高=3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ja"/>
                <w:eastAsianLayout/>
              </w:rPr>
              <w:t>中程度 =2 低 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>コスト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 xml:space="preserve">コストへの影響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ja"/>
                <w:eastAsianLayout/>
              </w:rPr>
              <w:t>高 =3 中=2 低=1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>比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ja"/>
                <w:eastAsianLayout/>
              </w:rPr>
              <w:t>メリット/コスト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ja"/>
                <w:eastAsianLayout/>
              </w:rPr>
              <w:t>ランキング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17&amp;utm_language=JA&amp;utm_source=integrated+content&amp;utm_campaign=/free-cost-benefit-analysis-templates&amp;utm_medium=ic+basiccostbenefitanalysischarttemplate+ja&amp;lpa=ic+basiccostbenefitanalysischarttemplate+ja&amp;lx=VP_CyadgTnJOljvhy0tIY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17&amp;utm_language=JA&amp;utm_source=integrated+content&amp;utm_campaign=/free-cost-benefit-analysis-templates&amp;utm_medium=ic+basiccostbenefitanalysischarttemplate+ja&amp;lpa=ic+basiccostbenefitanalysischarttemplate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